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6" w:rsidRDefault="00DA22AC">
      <w:pPr>
        <w:rPr>
          <w:rFonts w:ascii="Castellar" w:hAnsi="Castellar"/>
          <w:sz w:val="36"/>
          <w:szCs w:val="36"/>
        </w:rPr>
      </w:pPr>
      <w:r w:rsidRPr="00CF4806">
        <w:rPr>
          <w:rFonts w:ascii="Castellar" w:hAnsi="Castellar"/>
          <w:sz w:val="36"/>
          <w:szCs w:val="36"/>
        </w:rPr>
        <w:t>Fördjupningsuppgift Högkulturer</w:t>
      </w:r>
    </w:p>
    <w:p w:rsidR="00E96BF3" w:rsidRPr="00CF4806" w:rsidRDefault="00E96BF3">
      <w:pPr>
        <w:rPr>
          <w:rFonts w:ascii="Castellar" w:hAnsi="Castellar"/>
          <w:sz w:val="36"/>
          <w:szCs w:val="36"/>
        </w:rPr>
      </w:pPr>
      <w:r w:rsidRPr="00E96BF3">
        <w:rPr>
          <w:b/>
        </w:rPr>
        <w:t>Syfte</w:t>
      </w:r>
    </w:p>
    <w:p w:rsidR="00E96BF3" w:rsidRDefault="00DA22AC">
      <w:r>
        <w:t>På jordens alla kontinenter, om man bortser från Aust</w:t>
      </w:r>
      <w:r w:rsidR="00167DFF">
        <w:t xml:space="preserve">ralien har högkulturer </w:t>
      </w:r>
      <w:r>
        <w:t>funnits vars tekniska, vetenskapliga och religiösa uppfattningar påverkade både sin egen samtid och vår tid</w:t>
      </w:r>
      <w:r w:rsidR="00167DFF">
        <w:t xml:space="preserve"> idag</w:t>
      </w:r>
      <w:r>
        <w:t>. En</w:t>
      </w:r>
      <w:r w:rsidR="00AB6AE7">
        <w:t xml:space="preserve"> </w:t>
      </w:r>
      <w:r>
        <w:t>del står kvar som monument av en tid för längesedan medan andra påverkar hur vi ser på vårt liv idag</w:t>
      </w:r>
      <w:r w:rsidR="00167DFF">
        <w:t xml:space="preserve"> och vilka vetenskapliga och tekniska hjälpmedel vi har</w:t>
      </w:r>
      <w:r w:rsidR="00581102">
        <w:t xml:space="preserve"> hjälp av</w:t>
      </w:r>
      <w:r w:rsidR="00167DFF">
        <w:t xml:space="preserve"> i vår vardag</w:t>
      </w:r>
      <w:r>
        <w:t>.</w:t>
      </w:r>
    </w:p>
    <w:p w:rsidR="00E96BF3" w:rsidRDefault="00DA22AC">
      <w:r>
        <w:t>.</w:t>
      </w:r>
      <w:r w:rsidR="00581102">
        <w:t xml:space="preserve"> </w:t>
      </w:r>
      <w:r w:rsidR="00E96BF3">
        <w:t xml:space="preserve">Du ska genom detta moment utveckla din förmåga att sätta dig in i och förstå tidigare människors levnadsvillkor. </w:t>
      </w:r>
    </w:p>
    <w:p w:rsidR="00CF4806" w:rsidRDefault="00E96BF3">
      <w:r>
        <w:t>Du ska förstå orsaker till att kulturer uppstod och konse</w:t>
      </w:r>
      <w:r w:rsidR="00CF4806">
        <w:t>kvenser (följder</w:t>
      </w:r>
      <w:r>
        <w:t>)</w:t>
      </w:r>
      <w:r w:rsidR="00CF4806">
        <w:t>av att de funnits</w:t>
      </w:r>
      <w:r>
        <w:t xml:space="preserve">. </w:t>
      </w:r>
    </w:p>
    <w:p w:rsidR="008D3C80" w:rsidRDefault="00E96BF3">
      <w:r>
        <w:t xml:space="preserve">Du ska kunna placera högkulturerna i ett sammanhang och kunna se mönster i hur olika kulturer hänger ihop och utvecklas. </w:t>
      </w:r>
    </w:p>
    <w:p w:rsidR="00CF4806" w:rsidRDefault="00CF4806">
      <w:r>
        <w:t xml:space="preserve">Du ska visa </w:t>
      </w:r>
      <w:proofErr w:type="gramStart"/>
      <w:r>
        <w:t>på  källor</w:t>
      </w:r>
      <w:proofErr w:type="gramEnd"/>
      <w:r>
        <w:t xml:space="preserve"> som bevisar att högkulturen funnits och vad dessa berättar om högkulturerna. </w:t>
      </w:r>
    </w:p>
    <w:p w:rsidR="008D3C80" w:rsidRPr="008D3C80" w:rsidRDefault="008D3C80">
      <w:pPr>
        <w:rPr>
          <w:b/>
        </w:rPr>
      </w:pPr>
      <w:r w:rsidRPr="008D3C80">
        <w:rPr>
          <w:b/>
        </w:rPr>
        <w:t>Redovisa!</w:t>
      </w:r>
    </w:p>
    <w:p w:rsidR="00C51149" w:rsidRDefault="00581102">
      <w:pPr>
        <w:rPr>
          <w:b/>
        </w:rPr>
      </w:pPr>
      <w:r>
        <w:t>Hur ni väljer att redovisa det här är upp till er, man kan bl</w:t>
      </w:r>
      <w:r w:rsidR="006D6D94">
        <w:t>and annat</w:t>
      </w:r>
      <w:r>
        <w:t xml:space="preserve"> göra en film, ett skådespel, en powerpointredovisning, ett kollage.</w:t>
      </w:r>
      <w:r w:rsidR="006D6D94">
        <w:t xml:space="preserve"> </w:t>
      </w:r>
    </w:p>
    <w:p w:rsidR="008D3C80" w:rsidRPr="008D3C80" w:rsidRDefault="008D3C80">
      <w:pPr>
        <w:rPr>
          <w:b/>
        </w:rPr>
      </w:pPr>
      <w:r w:rsidRPr="008D3C80">
        <w:rPr>
          <w:b/>
        </w:rPr>
        <w:t>Sprida det ni lär er till era klasskompisar!</w:t>
      </w:r>
    </w:p>
    <w:p w:rsidR="00AB6AE7" w:rsidRPr="00AB6AE7" w:rsidRDefault="00CF4806"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1" locked="0" layoutInCell="1" allowOverlap="1" wp14:anchorId="4419FBD1" wp14:editId="33DE512D">
            <wp:simplePos x="0" y="0"/>
            <wp:positionH relativeFrom="column">
              <wp:posOffset>6882130</wp:posOffset>
            </wp:positionH>
            <wp:positionV relativeFrom="paragraph">
              <wp:posOffset>257810</wp:posOffset>
            </wp:positionV>
            <wp:extent cx="2409825" cy="1617980"/>
            <wp:effectExtent l="0" t="0" r="9525" b="1270"/>
            <wp:wrapTight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ight>
            <wp:docPr id="2" name="irc_mi" descr="http://www.asienguiden.se/kina/jinshanling/bilder/jinshanling_w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ienguiden.se/kina/jinshanling/bilder/jinshanling_w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AE7">
        <w:t xml:space="preserve">Varje grupp ska också förbereda frågor till en </w:t>
      </w:r>
      <w:proofErr w:type="spellStart"/>
      <w:r w:rsidR="00AB6AE7">
        <w:t>quiz</w:t>
      </w:r>
      <w:proofErr w:type="spellEnd"/>
      <w:r w:rsidR="00AB6AE7">
        <w:t xml:space="preserve"> som eleverna ska besvara efter er redovisning. Några av dessa frågor kommer sedan at</w:t>
      </w:r>
      <w:r w:rsidR="00E96BF3">
        <w:t xml:space="preserve">t ligga till grund för ett skriftligt prov om högkulturerna. </w:t>
      </w:r>
      <w:r w:rsidR="00AB6AE7">
        <w:t xml:space="preserve"> </w:t>
      </w:r>
    </w:p>
    <w:p w:rsidR="00BB579B" w:rsidRDefault="00BB579B">
      <w:pPr>
        <w:sectPr w:rsidR="00BB579B" w:rsidSect="00BB57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81102" w:rsidRPr="00BB579B" w:rsidRDefault="00581102">
      <w:pPr>
        <w:rPr>
          <w:b/>
          <w:u w:val="single"/>
        </w:rPr>
      </w:pPr>
      <w:r w:rsidRPr="00BB579B">
        <w:rPr>
          <w:b/>
          <w:u w:val="single"/>
        </w:rPr>
        <w:lastRenderedPageBreak/>
        <w:t>Högkulturerna som är valbara är:</w:t>
      </w:r>
    </w:p>
    <w:p w:rsidR="00581102" w:rsidRDefault="00BB579B"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7426219D" wp14:editId="75E483EF">
            <wp:simplePos x="0" y="0"/>
            <wp:positionH relativeFrom="column">
              <wp:posOffset>1481455</wp:posOffset>
            </wp:positionH>
            <wp:positionV relativeFrom="paragraph">
              <wp:posOffset>112395</wp:posOffset>
            </wp:positionV>
            <wp:extent cx="2809875" cy="1580515"/>
            <wp:effectExtent l="0" t="0" r="9525" b="635"/>
            <wp:wrapTight wrapText="bothSides">
              <wp:wrapPolygon edited="0">
                <wp:start x="0" y="0"/>
                <wp:lineTo x="0" y="21348"/>
                <wp:lineTo x="21527" y="21348"/>
                <wp:lineTo x="21527" y="0"/>
                <wp:lineTo x="0" y="0"/>
              </wp:wrapPolygon>
            </wp:wrapTight>
            <wp:docPr id="5" name="irc_mi" descr="http://gfx.aftonbladet-cdn.se/image/18161589/1200/imageColumn/04a2371667fb7/pyramider-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fx.aftonbladet-cdn.se/image/18161589/1200/imageColumn/04a2371667fb7/pyramider-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02">
        <w:t xml:space="preserve">Minoiska kulturen (Kreta) </w:t>
      </w:r>
    </w:p>
    <w:p w:rsidR="00581102" w:rsidRDefault="00581102">
      <w:r>
        <w:t>Indusdalen</w:t>
      </w:r>
      <w:r w:rsidR="006D6D94">
        <w:t>(Indien)</w:t>
      </w:r>
    </w:p>
    <w:p w:rsidR="00581102" w:rsidRDefault="00581102">
      <w:r>
        <w:t>Gula-floden</w:t>
      </w:r>
      <w:r w:rsidR="006D6D94">
        <w:t>(Kina)</w:t>
      </w:r>
    </w:p>
    <w:p w:rsidR="006D6D94" w:rsidRDefault="006D6D94">
      <w:r>
        <w:t>Aztekkulturen(</w:t>
      </w:r>
      <w:proofErr w:type="spellStart"/>
      <w:r>
        <w:t>Mexico</w:t>
      </w:r>
      <w:proofErr w:type="spellEnd"/>
      <w:r>
        <w:t>)</w:t>
      </w:r>
    </w:p>
    <w:p w:rsidR="00E71A49" w:rsidRDefault="00E71A49">
      <w:r>
        <w:t>Inkaindianerna</w:t>
      </w:r>
      <w:r w:rsidR="00AB6AE7">
        <w:t xml:space="preserve"> </w:t>
      </w:r>
    </w:p>
    <w:p w:rsidR="006D6D94" w:rsidRDefault="006D6D94">
      <w:r>
        <w:lastRenderedPageBreak/>
        <w:t>Mayakulturen(Peru)</w:t>
      </w:r>
    </w:p>
    <w:p w:rsidR="006D6D94" w:rsidRDefault="00CF4806">
      <w:r>
        <w:rPr>
          <w:noProof/>
          <w:color w:val="0000FF"/>
          <w:lang w:eastAsia="sv-SE"/>
        </w:rPr>
        <w:drawing>
          <wp:anchor distT="0" distB="0" distL="114300" distR="114300" simplePos="0" relativeHeight="251661312" behindDoc="1" locked="0" layoutInCell="1" allowOverlap="1" wp14:anchorId="597026D8" wp14:editId="3E8F1B37">
            <wp:simplePos x="0" y="0"/>
            <wp:positionH relativeFrom="column">
              <wp:posOffset>1616710</wp:posOffset>
            </wp:positionH>
            <wp:positionV relativeFrom="paragraph">
              <wp:posOffset>459105</wp:posOffset>
            </wp:positionV>
            <wp:extent cx="3499485" cy="1533525"/>
            <wp:effectExtent l="0" t="0" r="5715" b="9525"/>
            <wp:wrapTight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ight>
            <wp:docPr id="7" name="irc_mi" descr="http://www.hujada.com/dynimage.php?mod=news&amp;id=12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jada.com/dynimage.php?mod=news&amp;id=12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D94">
        <w:t>Faraonernas Egypten(Egypten)</w:t>
      </w:r>
    </w:p>
    <w:p w:rsidR="006D6D94" w:rsidRDefault="006D6D94">
      <w:r>
        <w:t>Mesopotamien(Irak)</w:t>
      </w:r>
    </w:p>
    <w:p w:rsidR="00AB6AE7" w:rsidRDefault="00AB6AE7">
      <w:proofErr w:type="gramStart"/>
      <w:r>
        <w:t xml:space="preserve">Sumererna (  </w:t>
      </w:r>
      <w:proofErr w:type="spellStart"/>
      <w:r w:rsidR="00E96BF3">
        <w:t>irak</w:t>
      </w:r>
      <w:proofErr w:type="spellEnd"/>
      <w:proofErr w:type="gramEnd"/>
      <w:r w:rsidR="00E96BF3">
        <w:t>)</w:t>
      </w:r>
    </w:p>
    <w:p w:rsidR="00AB6AE7" w:rsidRDefault="00CF4806">
      <w:r>
        <w:t>Antikens Grekland och Rom</w:t>
      </w:r>
      <w:r w:rsidR="00AB6AE7">
        <w:t xml:space="preserve"> (Italien)</w:t>
      </w:r>
    </w:p>
    <w:p w:rsidR="00BB579B" w:rsidRDefault="00BB579B">
      <w:pPr>
        <w:sectPr w:rsidR="00BB579B" w:rsidSect="00BB579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0B62B1" w:rsidRPr="00BB579B" w:rsidRDefault="00BB579B" w:rsidP="00BB579B">
      <w:r>
        <w:rPr>
          <w:noProof/>
          <w:color w:val="0000FF"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61019F9C" wp14:editId="16550E26">
            <wp:simplePos x="0" y="0"/>
            <wp:positionH relativeFrom="margin">
              <wp:posOffset>5381625</wp:posOffset>
            </wp:positionH>
            <wp:positionV relativeFrom="paragraph">
              <wp:posOffset>109220</wp:posOffset>
            </wp:positionV>
            <wp:extent cx="2343150" cy="1570355"/>
            <wp:effectExtent l="0" t="0" r="0" b="0"/>
            <wp:wrapNone/>
            <wp:docPr id="6" name="irc_mi" descr="http://blogg.flygstolen.se/wp-content/uploads/2013/08/3180234142_827a8bb32b_z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g.flygstolen.se/wp-content/uploads/2013/08/3180234142_827a8bb32b_z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B1" w:rsidRPr="000B62B1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sv-SE"/>
        </w:rPr>
        <w:drawing>
          <wp:inline distT="0" distB="0" distL="0" distR="0" wp14:anchorId="72862374" wp14:editId="1F0B142D">
            <wp:extent cx="4457700" cy="2771775"/>
            <wp:effectExtent l="0" t="0" r="0" b="9525"/>
            <wp:docPr id="4" name="irc_ilrp_mut" descr="https://encrypted-tbn3.gstatic.com/images?q=tbn:ANd9GcRldKSJX4SKAI8qMcnTg5CVhAqUQ7INe3T6j8CRzyi0EYqwW5O_gBxMW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ldKSJX4SKAI8qMcnTg5CVhAqUQ7INe3T6j8CRzyi0EYqwW5O_gBxMW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B1" w:rsidRPr="000B62B1" w:rsidRDefault="000B62B1" w:rsidP="000B62B1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sv-SE"/>
        </w:rPr>
      </w:pPr>
      <w:r w:rsidRPr="000B62B1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sv-SE"/>
        </w:rPr>
        <w:drawing>
          <wp:inline distT="0" distB="0" distL="0" distR="0" wp14:anchorId="496BE0EE" wp14:editId="4AA0F90E">
            <wp:extent cx="4457700" cy="2771775"/>
            <wp:effectExtent l="0" t="0" r="0" b="9525"/>
            <wp:docPr id="3" name="irc_ilrp_mut" descr="https://encrypted-tbn3.gstatic.com/images?q=tbn:ANd9GcRldKSJX4SKAI8qMcnTg5CVhAqUQ7INe3T6j8CRzyi0EYqwW5O_gBxMW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ldKSJX4SKAI8qMcnTg5CVhAqUQ7INe3T6j8CRzyi0EYqwW5O_gBxMW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9F" w:rsidRDefault="00562F9F" w:rsidP="00562F9F">
      <w:pPr>
        <w:rPr>
          <w:b/>
          <w:sz w:val="40"/>
          <w:szCs w:val="40"/>
        </w:rPr>
      </w:pPr>
      <w:r>
        <w:rPr>
          <w:b/>
          <w:sz w:val="40"/>
          <w:szCs w:val="40"/>
        </w:rPr>
        <w:t>Länk och litteraturtips</w:t>
      </w:r>
    </w:p>
    <w:p w:rsidR="00E71A49" w:rsidRPr="00562F9F" w:rsidRDefault="00562F9F" w:rsidP="00562F9F">
      <w:pPr>
        <w:rPr>
          <w:sz w:val="28"/>
          <w:szCs w:val="28"/>
        </w:rPr>
      </w:pPr>
      <w:r w:rsidRPr="00562F9F">
        <w:rPr>
          <w:sz w:val="28"/>
          <w:szCs w:val="28"/>
        </w:rPr>
        <w:t>Läroboken</w:t>
      </w:r>
      <w:r w:rsidR="00C51149" w:rsidRPr="00562F9F">
        <w:rPr>
          <w:sz w:val="28"/>
          <w:szCs w:val="28"/>
        </w:rPr>
        <w:tab/>
      </w:r>
      <w:r w:rsidR="00BB579B">
        <w:rPr>
          <w:sz w:val="28"/>
          <w:szCs w:val="28"/>
        </w:rPr>
        <w:t xml:space="preserve">                               </w:t>
      </w:r>
    </w:p>
    <w:p w:rsidR="00BB579B" w:rsidRDefault="00170664">
      <w:pPr>
        <w:rPr>
          <w:rStyle w:val="Hyperlink"/>
        </w:rPr>
      </w:pPr>
      <w:hyperlink r:id="rId18" w:history="1">
        <w:r w:rsidR="00C51149" w:rsidRPr="0007353A">
          <w:rPr>
            <w:rStyle w:val="Hyperlink"/>
          </w:rPr>
          <w:t>www.sorummet.</w:t>
        </w:r>
        <w:proofErr w:type="gramStart"/>
        <w:r w:rsidR="00C51149" w:rsidRPr="0007353A">
          <w:rPr>
            <w:rStyle w:val="Hyperlink"/>
          </w:rPr>
          <w:t>se</w:t>
        </w:r>
      </w:hyperlink>
      <w:r w:rsidR="00BB579B">
        <w:rPr>
          <w:rStyle w:val="Hyperlink"/>
        </w:rPr>
        <w:t xml:space="preserve">                        varldensshistoria</w:t>
      </w:r>
      <w:proofErr w:type="gramEnd"/>
      <w:r w:rsidR="00BB579B">
        <w:rPr>
          <w:rStyle w:val="Hyperlink"/>
        </w:rPr>
        <w:t>.se</w:t>
      </w:r>
    </w:p>
    <w:p w:rsidR="00C51149" w:rsidRPr="00BB579B" w:rsidRDefault="00170664">
      <w:pPr>
        <w:rPr>
          <w:rStyle w:val="Hyperlink"/>
          <w:color w:val="auto"/>
          <w:u w:val="none"/>
        </w:rPr>
      </w:pPr>
      <w:hyperlink r:id="rId19" w:history="1">
        <w:r w:rsidR="00C51149" w:rsidRPr="0007353A">
          <w:rPr>
            <w:rStyle w:val="Hyperlink"/>
          </w:rPr>
          <w:t>www.ungafakta.se</w:t>
        </w:r>
      </w:hyperlink>
      <w:bookmarkStart w:id="0" w:name="_GoBack"/>
      <w:bookmarkEnd w:id="0"/>
    </w:p>
    <w:p w:rsidR="00BB579B" w:rsidRDefault="00BB579B">
      <w:hyperlink r:id="rId20" w:history="1">
        <w:r w:rsidRPr="003633E1">
          <w:rPr>
            <w:rStyle w:val="Hyperlink"/>
          </w:rPr>
          <w:t>www.medelhavsmuseet.se</w:t>
        </w:r>
      </w:hyperlink>
      <w:r>
        <w:t xml:space="preserve"> </w:t>
      </w:r>
    </w:p>
    <w:p w:rsidR="00BB579B" w:rsidRPr="00BB579B" w:rsidRDefault="00BB579B">
      <w:pPr>
        <w:rPr>
          <w:b/>
        </w:rPr>
      </w:pPr>
      <w:r>
        <w:rPr>
          <w:b/>
        </w:rPr>
        <w:t xml:space="preserve">www.lankskafferiet.se   </w:t>
      </w:r>
    </w:p>
    <w:p w:rsidR="006D6D94" w:rsidRPr="00BB579B" w:rsidRDefault="00AB6AE7">
      <w:pPr>
        <w:rPr>
          <w:color w:val="0563C1" w:themeColor="hyperlink"/>
          <w:u w:val="single"/>
        </w:rPr>
      </w:pPr>
      <w:r>
        <w:rPr>
          <w:b/>
          <w:sz w:val="36"/>
          <w:szCs w:val="36"/>
        </w:rPr>
        <w:t>Exempel på f</w:t>
      </w:r>
      <w:r w:rsidR="006D6D94" w:rsidRPr="00C51149">
        <w:rPr>
          <w:b/>
          <w:sz w:val="36"/>
          <w:szCs w:val="36"/>
        </w:rPr>
        <w:t>rågor att besvara</w:t>
      </w:r>
    </w:p>
    <w:p w:rsidR="00E96BF3" w:rsidRDefault="00E96BF3">
      <w:pPr>
        <w:sectPr w:rsidR="00E96BF3" w:rsidSect="00BB579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A22AC" w:rsidRDefault="006D6D94">
      <w:r>
        <w:lastRenderedPageBreak/>
        <w:t>Under v</w:t>
      </w:r>
      <w:r w:rsidR="00DA22AC">
        <w:t>ilken tidsperiod fanns högkulturen?</w:t>
      </w:r>
    </w:p>
    <w:p w:rsidR="006D6D94" w:rsidRDefault="006D6D94">
      <w:r>
        <w:t>När och varför går högkulturen under?</w:t>
      </w:r>
    </w:p>
    <w:p w:rsidR="006D6D94" w:rsidRDefault="00DA22AC">
      <w:r>
        <w:t>Vart någonstans i världen fanns högkulturen?</w:t>
      </w:r>
      <w:proofErr w:type="gramStart"/>
      <w:r w:rsidR="008D3C80">
        <w:t xml:space="preserve"> </w:t>
      </w:r>
      <w:r w:rsidR="00E96BF3">
        <w:t>(visa på karta</w:t>
      </w:r>
      <w:proofErr w:type="gramEnd"/>
    </w:p>
    <w:p w:rsidR="00E96BF3" w:rsidRDefault="00E96BF3" w:rsidP="00E96BF3">
      <w:r>
        <w:t xml:space="preserve">Vad var utmärkande för högkulturen? Kanske geografiskt läge? Floder, Berg, klimat? Kanske guld eller andra värdesaker? Kanske kläder eller kultur </w:t>
      </w:r>
      <w:r>
        <w:t xml:space="preserve">och nöjen </w:t>
      </w:r>
      <w:proofErr w:type="spellStart"/>
      <w:r>
        <w:t>etc</w:t>
      </w:r>
      <w:proofErr w:type="spellEnd"/>
      <w:r>
        <w:t xml:space="preserve">? Duktiga krigare, handelsmän, arkitekter </w:t>
      </w:r>
      <w:proofErr w:type="spellStart"/>
      <w:r>
        <w:t>etc</w:t>
      </w:r>
      <w:proofErr w:type="spellEnd"/>
      <w:r>
        <w:t>?</w:t>
      </w:r>
    </w:p>
    <w:p w:rsidR="006D6D94" w:rsidRDefault="00DA22AC">
      <w:r>
        <w:t>Hur kan man veta något om den här högkulturen?</w:t>
      </w:r>
      <w:r w:rsidR="00AB6AE7">
        <w:t xml:space="preserve"> Vilka källor finns det som bevisar att högkulturen fanns?</w:t>
      </w:r>
    </w:p>
    <w:p w:rsidR="00DA22AC" w:rsidRDefault="00DA22AC">
      <w:r>
        <w:t xml:space="preserve">Hur levde människorna </w:t>
      </w:r>
      <w:r w:rsidR="006D6D94">
        <w:t>inom högkulturen, hur var samhället uppdelat?</w:t>
      </w:r>
      <w:r w:rsidR="00C51149">
        <w:t xml:space="preserve"> Såg livet olika ut för olika samhällsgrupper</w:t>
      </w:r>
      <w:r w:rsidR="00E96BF3">
        <w:t>, (yrken, klasser)</w:t>
      </w:r>
      <w:r w:rsidR="00C51149">
        <w:t>. Hur då?</w:t>
      </w:r>
    </w:p>
    <w:p w:rsidR="00DA22AC" w:rsidRDefault="00DA22AC">
      <w:r>
        <w:lastRenderedPageBreak/>
        <w:t>Såg livet olika ut för kvinnor/män, fattiga/rika? Berätta på vilka sett då.</w:t>
      </w:r>
      <w:r w:rsidR="006D6D94">
        <w:t xml:space="preserve"> Hur kan en vanlig dag sett ut för någon samhällsgrupp?</w:t>
      </w:r>
    </w:p>
    <w:p w:rsidR="006D6D94" w:rsidRDefault="00DA22AC">
      <w:r>
        <w:t>Vad hade man för tankar om livet och döden? (Religion)</w:t>
      </w:r>
    </w:p>
    <w:p w:rsidR="006D6D94" w:rsidRDefault="006D6D94">
      <w:r>
        <w:t>Vad hade man för riter/relig</w:t>
      </w:r>
      <w:r w:rsidR="00E71A49">
        <w:t>i</w:t>
      </w:r>
      <w:r>
        <w:t>ösa traditioner?</w:t>
      </w:r>
    </w:p>
    <w:p w:rsidR="00DA22AC" w:rsidRDefault="006D6D94">
      <w:r>
        <w:t>Gjorde man några vetenskapliga/tekniska uppfinningar?</w:t>
      </w:r>
    </w:p>
    <w:p w:rsidR="00E71A49" w:rsidRDefault="00E71A49">
      <w:r>
        <w:t>Vad är det viktigaste, tycker du, som högkulturen bidrog till vår tid?</w:t>
      </w:r>
    </w:p>
    <w:p w:rsidR="00C51149" w:rsidRPr="00605770" w:rsidRDefault="00C51149">
      <w:r>
        <w:t>Finns det några kända personer eller berättelser från högkulturen?</w:t>
      </w:r>
    </w:p>
    <w:p w:rsidR="00BB579B" w:rsidRDefault="00E96BF3">
      <w:pPr>
        <w:rPr>
          <w:b/>
          <w:sz w:val="32"/>
          <w:szCs w:val="32"/>
        </w:rPr>
        <w:sectPr w:rsidR="00BB579B" w:rsidSect="00BB579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Finns det samband mellan er undersökta kultur och andra kulturer? Språk, religion, område, med mera? </w:t>
      </w:r>
    </w:p>
    <w:p w:rsidR="00E96BF3" w:rsidRDefault="00E96BF3">
      <w:pPr>
        <w:rPr>
          <w:b/>
        </w:rPr>
      </w:pPr>
    </w:p>
    <w:p w:rsidR="00605770" w:rsidRPr="00E96BF3" w:rsidRDefault="00E96BF3">
      <w:pPr>
        <w:rPr>
          <w:b/>
        </w:rPr>
      </w:pPr>
      <w:r w:rsidRPr="00E96BF3">
        <w:rPr>
          <w:b/>
        </w:rPr>
        <w:t>Ni/du kan ju lägga till eller ändra i frågorna så att det passar ert arbete. Men tänk på att täcka in alla kunskapskrav!</w:t>
      </w:r>
    </w:p>
    <w:p w:rsidR="00BB579B" w:rsidRPr="00E96BF3" w:rsidRDefault="00BB579B" w:rsidP="00BB579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sv-SE"/>
        </w:rPr>
      </w:pPr>
    </w:p>
    <w:p w:rsidR="00E96BF3" w:rsidRDefault="00E96BF3" w:rsidP="00BB579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36"/>
          <w:szCs w:val="36"/>
          <w:lang w:eastAsia="sv-SE"/>
        </w:rPr>
      </w:pPr>
    </w:p>
    <w:p w:rsidR="00BB579B" w:rsidRPr="00BB41E0" w:rsidRDefault="00BB579B" w:rsidP="00BB579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36"/>
          <w:szCs w:val="36"/>
          <w:lang w:eastAsia="sv-SE"/>
        </w:rPr>
      </w:pPr>
      <w:r w:rsidRPr="00BB41E0">
        <w:rPr>
          <w:rFonts w:ascii="Arial" w:eastAsia="Times New Roman" w:hAnsi="Arial" w:cs="Arial"/>
          <w:b/>
          <w:bCs/>
          <w:color w:val="444444"/>
          <w:sz w:val="36"/>
          <w:szCs w:val="36"/>
          <w:lang w:eastAsia="sv-SE"/>
        </w:rPr>
        <w:t>Kunskapskrav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sv-SE"/>
        </w:rPr>
        <w:t xml:space="preserve"> projektet </w:t>
      </w:r>
      <w:proofErr w:type="gramStart"/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sv-SE"/>
        </w:rPr>
        <w:t xml:space="preserve">högkulturer: </w:t>
      </w:r>
      <w:r w:rsidRPr="00BB41E0">
        <w:rPr>
          <w:rFonts w:ascii="Arial" w:eastAsia="Times New Roman" w:hAnsi="Arial" w:cs="Arial"/>
          <w:b/>
          <w:bCs/>
          <w:color w:val="444444"/>
          <w:sz w:val="36"/>
          <w:szCs w:val="36"/>
          <w:lang w:eastAsia="sv-SE"/>
        </w:rPr>
        <w:t xml:space="preserve"> Historia</w:t>
      </w:r>
      <w:proofErr w:type="gramEnd"/>
      <w:r w:rsidRPr="00BB41E0">
        <w:rPr>
          <w:rFonts w:ascii="Arial" w:eastAsia="Times New Roman" w:hAnsi="Arial" w:cs="Arial"/>
          <w:b/>
          <w:bCs/>
          <w:color w:val="444444"/>
          <w:sz w:val="36"/>
          <w:szCs w:val="36"/>
          <w:lang w:eastAsia="sv-SE"/>
        </w:rPr>
        <w:t xml:space="preserve"> åk 7-9</w:t>
      </w:r>
    </w:p>
    <w:tbl>
      <w:tblPr>
        <w:tblW w:w="95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3"/>
      </w:tblGrid>
      <w:tr w:rsidR="00BB579B" w:rsidRPr="00BB41E0" w:rsidTr="00035740">
        <w:trPr>
          <w:tblCellSpacing w:w="0" w:type="dxa"/>
        </w:trPr>
        <w:tc>
          <w:tcPr>
            <w:tcW w:w="9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79B" w:rsidRPr="00BB41E0" w:rsidRDefault="00BB579B" w:rsidP="00035740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B41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Förmåga E C A</w:t>
            </w:r>
          </w:p>
          <w:tbl>
            <w:tblPr>
              <w:tblW w:w="133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96"/>
              <w:gridCol w:w="3691"/>
              <w:gridCol w:w="3740"/>
              <w:gridCol w:w="3699"/>
            </w:tblGrid>
            <w:tr w:rsidR="00BB579B" w:rsidRPr="00BB41E0" w:rsidTr="00035740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Tidsperioder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har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 xml:space="preserve">grundläggande 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kunskaper om historiska förhållanden, skeenden och ge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softHyphen/>
                    <w:t>stalter under olika tidsperioder.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har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goda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kunskaper om historiska förhållanden, skeenden och gestalter under olika tidsperioder.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har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 xml:space="preserve">mycket goda 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kunskaper om historiska förhållanden, skeenden och gestalter under olika tidsperioder.</w:t>
                  </w:r>
                </w:p>
              </w:tc>
            </w:tr>
            <w:tr w:rsidR="00BB579B" w:rsidRPr="00BB41E0" w:rsidTr="00035740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Samhällsförändringar, levnadsvillkor &amp; handlingar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visar det genom att föra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enkla och till viss del underbyggda resonemang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om orsaker till och konsekvenser av samhällsförändringar och människors levnadsvillkor och handlingar, samt om Förintelsen och andra folk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softHyphen/>
                    <w:t>mord.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visar det genom att föra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 xml:space="preserve">utvecklade och relativt väl 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underbyggda resonemang om orsaker till och konsekvenser av samhällsförändringar och människors levnadsvillkor och handlingar, samt om Förintelsen och andra folkmord.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visar det genom att föra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välutvecklade och väl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underbyggda resonemang om orsaker till och konsekvenser av samhällsförändringar och människors levnadsvillkor och handlingar, samt om Förintelsen och andra folkmord.</w:t>
                  </w:r>
                </w:p>
              </w:tc>
            </w:tr>
            <w:tr w:rsidR="00BB579B" w:rsidRPr="00BB41E0" w:rsidTr="00035740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Villkor och värderingar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Dessutom förklarar eleven hur människors villkor och värderingar kan påverkas av den tid de lever i.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Dessutom förklarar eleven hur människors villkor och värderingar kan påverkas av den tid de lever i.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Dessutom förklarar eleven hur människors villkor och värderingar kan påverkas av den tid de lever i.</w:t>
                  </w:r>
                </w:p>
              </w:tc>
            </w:tr>
            <w:tr w:rsidR="00BB579B" w:rsidRPr="00BB41E0" w:rsidTr="00035740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Undersöka utvecklingslinjer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kan undersöka några utvecklingslinjer inom kulturmöten, migration, politik och levnadsvillkor och beskriver då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enkla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samband mellan olika tidsperioder.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kan undersöka några utvecklingslinjer inom kulturmöten, migration, politik och levnadsvillkor och beskriver då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 xml:space="preserve">förhållandevis komplexa 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sam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softHyphen/>
                    <w:t>band mellan olika tidsperioder.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kan undersöka några utvecklingslinjer inom kulturmöten, migration, politik och levnadsvillkor och beskriver då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komplexa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samband mellan olika tidsperioder.</w:t>
                  </w:r>
                </w:p>
              </w:tc>
            </w:tr>
            <w:tr w:rsidR="00BB579B" w:rsidRPr="00BB41E0" w:rsidTr="00035740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Använda källmaterial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kan använda historiskt källmaterial för att dra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enkla och till viss del under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softHyphen/>
                    <w:t xml:space="preserve">byggda 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slutsatser om människors levnadsvillkor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kan använda historiskt källmaterial för att dra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utvecklade och relativt väl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underbyggda slutsatser om människors levnadsvillkor</w:t>
                  </w: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Eleven kan använda historiskt källmaterial för att dra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välutvecklade och väl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under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softHyphen/>
                    <w:t>byggda slutsatser om människors levnadsvillkor</w:t>
                  </w:r>
                </w:p>
              </w:tc>
            </w:tr>
            <w:tr w:rsidR="00BB579B" w:rsidRPr="00BB41E0" w:rsidTr="00035740"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Historiska begrepp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kan eleven använda historiska begrepp på ett i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huvudsak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fungerande sätt.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kan eleven använda historiska begrepp på ett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relativt väl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 fungerande sätt.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6BAED6"/>
                    <w:left w:val="single" w:sz="6" w:space="0" w:color="6BAED6"/>
                    <w:bottom w:val="single" w:sz="6" w:space="0" w:color="6BAED6"/>
                    <w:right w:val="single" w:sz="6" w:space="0" w:color="6BAED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579B" w:rsidRPr="00D04F54" w:rsidRDefault="00BB579B" w:rsidP="00035740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 xml:space="preserve">kan eleven använda historiska begrepp på ett </w:t>
                  </w:r>
                  <w:r w:rsidRPr="00D04F54">
                    <w:rPr>
                      <w:rFonts w:ascii="Helvetica" w:eastAsia="Times New Roman" w:hAnsi="Helvetica" w:cs="Helvetica"/>
                      <w:i/>
                      <w:iCs/>
                      <w:sz w:val="18"/>
                      <w:szCs w:val="18"/>
                      <w:lang w:eastAsia="sv-SE"/>
                    </w:rPr>
                    <w:t>väl</w:t>
                  </w:r>
                  <w:r w:rsidRPr="00D04F54">
                    <w:rPr>
                      <w:rFonts w:ascii="Helvetica" w:eastAsia="Times New Roman" w:hAnsi="Helvetica" w:cs="Helvetica"/>
                      <w:sz w:val="18"/>
                      <w:szCs w:val="18"/>
                      <w:lang w:eastAsia="sv-SE"/>
                    </w:rPr>
                    <w:t>fungerande sätt.</w:t>
                  </w:r>
                  <w:proofErr w:type="gramEnd"/>
                </w:p>
              </w:tc>
            </w:tr>
          </w:tbl>
          <w:p w:rsidR="00BB579B" w:rsidRPr="00BB41E0" w:rsidRDefault="00BB579B" w:rsidP="00035740">
            <w:pPr>
              <w:spacing w:after="0" w:line="384" w:lineRule="atLeas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</w:tbl>
    <w:p w:rsidR="00774518" w:rsidRDefault="00774518">
      <w:pPr>
        <w:rPr>
          <w:b/>
          <w:sz w:val="32"/>
          <w:szCs w:val="32"/>
        </w:rPr>
      </w:pPr>
    </w:p>
    <w:p w:rsidR="00774518" w:rsidRPr="00562F9F" w:rsidRDefault="00774518">
      <w:pPr>
        <w:rPr>
          <w:b/>
          <w:sz w:val="32"/>
          <w:szCs w:val="32"/>
        </w:rPr>
      </w:pPr>
    </w:p>
    <w:sectPr w:rsidR="00774518" w:rsidRPr="00562F9F" w:rsidSect="00BB579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64" w:rsidRDefault="00170664" w:rsidP="00167DFF">
      <w:pPr>
        <w:spacing w:after="0" w:line="240" w:lineRule="auto"/>
      </w:pPr>
      <w:r>
        <w:separator/>
      </w:r>
    </w:p>
  </w:endnote>
  <w:endnote w:type="continuationSeparator" w:id="0">
    <w:p w:rsidR="00170664" w:rsidRDefault="00170664" w:rsidP="0016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64" w:rsidRDefault="00170664" w:rsidP="00167DFF">
      <w:pPr>
        <w:spacing w:after="0" w:line="240" w:lineRule="auto"/>
      </w:pPr>
      <w:r>
        <w:separator/>
      </w:r>
    </w:p>
  </w:footnote>
  <w:footnote w:type="continuationSeparator" w:id="0">
    <w:p w:rsidR="00170664" w:rsidRDefault="00170664" w:rsidP="0016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C"/>
    <w:rsid w:val="000B62B1"/>
    <w:rsid w:val="00167DFF"/>
    <w:rsid w:val="00170664"/>
    <w:rsid w:val="001B4123"/>
    <w:rsid w:val="001C0662"/>
    <w:rsid w:val="00264BFF"/>
    <w:rsid w:val="003531D5"/>
    <w:rsid w:val="004C39A5"/>
    <w:rsid w:val="00521EE9"/>
    <w:rsid w:val="00562F9F"/>
    <w:rsid w:val="00581102"/>
    <w:rsid w:val="00605770"/>
    <w:rsid w:val="006D6D94"/>
    <w:rsid w:val="00774518"/>
    <w:rsid w:val="008D3C80"/>
    <w:rsid w:val="008E4DF7"/>
    <w:rsid w:val="00911DD5"/>
    <w:rsid w:val="00AB6AE7"/>
    <w:rsid w:val="00BB579B"/>
    <w:rsid w:val="00C51149"/>
    <w:rsid w:val="00CF4806"/>
    <w:rsid w:val="00D3566C"/>
    <w:rsid w:val="00DA22AC"/>
    <w:rsid w:val="00DD1ABB"/>
    <w:rsid w:val="00E6139D"/>
    <w:rsid w:val="00E71A49"/>
    <w:rsid w:val="00E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FF"/>
  </w:style>
  <w:style w:type="paragraph" w:styleId="Footer">
    <w:name w:val="footer"/>
    <w:basedOn w:val="Normal"/>
    <w:link w:val="FooterChar"/>
    <w:uiPriority w:val="99"/>
    <w:unhideWhenUsed/>
    <w:rsid w:val="001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FF"/>
  </w:style>
  <w:style w:type="character" w:styleId="Hyperlink">
    <w:name w:val="Hyperlink"/>
    <w:basedOn w:val="DefaultParagraphFont"/>
    <w:uiPriority w:val="99"/>
    <w:unhideWhenUsed/>
    <w:rsid w:val="00C51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FF"/>
  </w:style>
  <w:style w:type="paragraph" w:styleId="Footer">
    <w:name w:val="footer"/>
    <w:basedOn w:val="Normal"/>
    <w:link w:val="FooterChar"/>
    <w:uiPriority w:val="99"/>
    <w:unhideWhenUsed/>
    <w:rsid w:val="001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FF"/>
  </w:style>
  <w:style w:type="character" w:styleId="Hyperlink">
    <w:name w:val="Hyperlink"/>
    <w:basedOn w:val="DefaultParagraphFont"/>
    <w:uiPriority w:val="99"/>
    <w:unhideWhenUsed/>
    <w:rsid w:val="00C51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546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00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1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ahUKEwj-7aeo0MfKAhVI9HIKHTILCFMQjRwIBw&amp;url=http://www.asienguiden.se/kina/jinshanling/&amp;psig=AFQjCNGudgv-HLqR7KX22nFNkLuWojMFOg&amp;ust=145390278205265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sorummet.s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se/url?sa=i&amp;rct=j&amp;q=&amp;esrc=s&amp;source=images&amp;cd=&amp;cad=rja&amp;uact=8&amp;ved=0ahUKEwiZzrGl0cfKAhWovnIKHfTaD7YQjRwIBw&amp;url=http://www.hujada.com/article_print.php?ar%3D1211&amp;psig=AFQjCNGuJ2bc8-5INrmVURD_pa7SDynXIQ&amp;ust=1453903105029226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se/url?sa=i&amp;rct=j&amp;q=&amp;esrc=s&amp;source=images&amp;cd=&amp;cad=rja&amp;uact=8&amp;ved=0ahUKEwj0hv610MfKAhUI_HIKHbYFCQcQjRwIAw&amp;url=http://www.nyteknik.se/nyheter/bygg/fastighetsbyggen/article3843772.ece&amp;psig=AFQjCNEaKcGvzSRpbV1ANLEZv_lpVcfKTA&amp;ust=1453902878194142" TargetMode="External"/><Relationship Id="rId20" Type="http://schemas.openxmlformats.org/officeDocument/2006/relationships/hyperlink" Target="http://www.medelhavsmuseet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se/url?sa=i&amp;rct=j&amp;q=&amp;esrc=s&amp;source=images&amp;cd=&amp;cad=rja&amp;uact=8&amp;ved=0ahUKEwi3r-fA0MfKAhVI8HIKHWRrAgYQjRwIBw&amp;url=http://www.aftonbladet.se/nyheter/article18161142.ab&amp;psig=AFQjCNG2fTNn_4nRlHDZz-1lfBX355fdpA&amp;ust=1453902878358539" TargetMode="External"/><Relationship Id="rId19" Type="http://schemas.openxmlformats.org/officeDocument/2006/relationships/hyperlink" Target="http://www.ungafakta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se/url?sa=i&amp;rct=j&amp;q=&amp;esrc=s&amp;source=images&amp;cd=&amp;cad=rja&amp;uact=8&amp;ved=0ahUKEwjd5cvz0MfKAhXjpnIKHQcaCOEQjRwIBw&amp;url=http://blogg.flygstolen.se/mexiko-yucatanhalvon-och-arvet-fran-mayaindianerna/&amp;psig=AFQjCNFFAimWDBhpjsm8CICwsVR2zvcR7g&amp;ust=14539030002888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7B40-7322-4A5F-A4D2-BB3266DE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Swedish School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Petersson</dc:creator>
  <cp:lastModifiedBy>Oscar Seidler</cp:lastModifiedBy>
  <cp:revision>2</cp:revision>
  <cp:lastPrinted>2016-01-28T10:16:00Z</cp:lastPrinted>
  <dcterms:created xsi:type="dcterms:W3CDTF">2016-10-19T12:53:00Z</dcterms:created>
  <dcterms:modified xsi:type="dcterms:W3CDTF">2016-10-19T12:53:00Z</dcterms:modified>
</cp:coreProperties>
</file>